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81" w:rsidRDefault="006A3ABD" w:rsidP="00E04981">
      <w:r>
        <w:t xml:space="preserve">Vaccin grippal (vivant atténué, nasal)  </w:t>
      </w:r>
      <w:r w:rsidR="00E04981">
        <w:t> </w:t>
      </w:r>
      <w:r w:rsidR="00E04981">
        <w:rPr>
          <w:rStyle w:val="hx"/>
        </w:rPr>
        <w:t>PHARMACODYNAMIE</w:t>
      </w:r>
      <w:r w:rsidR="00E04981">
        <w:t xml:space="preserve"> </w:t>
      </w:r>
      <w:hyperlink w:anchor="d3935e8" w:history="1">
        <w:r w:rsidR="00E04981">
          <w:rPr>
            <w:rStyle w:val="Lienhypertexte"/>
            <w:vertAlign w:val="superscript"/>
          </w:rPr>
          <w:t>(début page)</w:t>
        </w:r>
      </w:hyperlink>
      <w:r w:rsidR="00E04981">
        <w:t xml:space="preserve"> </w:t>
      </w:r>
    </w:p>
    <w:p w:rsidR="00E04981" w:rsidRDefault="00E04981" w:rsidP="00E04981">
      <w:r>
        <w:t xml:space="preserve">Classe </w:t>
      </w:r>
      <w:proofErr w:type="spellStart"/>
      <w:r>
        <w:t>pharmacothérapeutique</w:t>
      </w:r>
      <w:proofErr w:type="spellEnd"/>
      <w:r>
        <w:t xml:space="preserve"> : Vaccins grippaux, vivants atténués, code ATC : J07BB03.</w:t>
      </w:r>
      <w:r>
        <w:br/>
        <w:t>Les souches du virus de la grippe de Vaccin grippal (vivant atténué, nasal)  sont : (a) adaptées au froid (ca) ; (b) thermosensibles (</w:t>
      </w:r>
      <w:proofErr w:type="spellStart"/>
      <w:r>
        <w:t>ts</w:t>
      </w:r>
      <w:proofErr w:type="spellEnd"/>
      <w:r>
        <w:t>) ; et (c) atténuées (</w:t>
      </w:r>
      <w:proofErr w:type="spellStart"/>
      <w:r>
        <w:t>att</w:t>
      </w:r>
      <w:proofErr w:type="spellEnd"/>
      <w:r>
        <w:t xml:space="preserve">). Ainsi, elles se répliquent dans le </w:t>
      </w:r>
      <w:proofErr w:type="spellStart"/>
      <w:r>
        <w:t>nasopharynx</w:t>
      </w:r>
      <w:proofErr w:type="spellEnd"/>
      <w:r>
        <w:t xml:space="preserve"> et induisent une immunité protectrice. </w:t>
      </w:r>
    </w:p>
    <w:p w:rsidR="00E04981" w:rsidRDefault="00E04981" w:rsidP="00E04981">
      <w:r>
        <w:t xml:space="preserve">Efficacité : </w:t>
      </w:r>
    </w:p>
    <w:p w:rsidR="00E04981" w:rsidRDefault="00E04981" w:rsidP="00E04981">
      <w:r>
        <w:t xml:space="preserve">Vaccin grippal (vivant atténué, nasal)  a été administré à plus de 30 000 personnes dans le cadre d'études cliniques contrôlées, sur plusieurs années, dans diverses régions et avec différentes souches de vaccins. </w:t>
      </w:r>
    </w:p>
    <w:p w:rsidR="00E04981" w:rsidRDefault="00E04981" w:rsidP="00E04981">
      <w:r>
        <w:t xml:space="preserve">Études sur la population pédiatrique : </w:t>
      </w:r>
    </w:p>
    <w:p w:rsidR="00E04981" w:rsidRDefault="00E04981" w:rsidP="00E04981">
      <w:r>
        <w:t xml:space="preserve">Les données d'efficacité de Vaccin grippal (vivant atténué, nasal)  sur la population pédiatrique proviennent de 9 études contrôlées menées sur plus de 20 000 nourrissons et enfants, jeunes et adolescents, sur 7 saisons grippales. Quatre études contrôlées contre placebo incluaient une deuxième vaccination au cours de la seconde saison. Vaccin grippal (vivant atténué, nasal)  a montré sa supériorité sur le vaccin grippal injectable dans 3 </w:t>
      </w:r>
      <w:proofErr w:type="gramStart"/>
      <w:r>
        <w:t>études .</w:t>
      </w:r>
      <w:proofErr w:type="gramEnd"/>
      <w:r>
        <w:t xml:space="preserve"> Voir un résumé des résultats en termes d'efficacité sur la population pédiatrique (tableaux 1 et 2). </w:t>
      </w:r>
    </w:p>
    <w:p w:rsidR="00E04981" w:rsidRDefault="00E04981" w:rsidP="00E04981"/>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5"/>
        <w:gridCol w:w="1673"/>
        <w:gridCol w:w="920"/>
        <w:gridCol w:w="962"/>
        <w:gridCol w:w="923"/>
        <w:gridCol w:w="1965"/>
        <w:gridCol w:w="1246"/>
      </w:tblGrid>
      <w:tr w:rsidR="00E04981" w:rsidTr="00823B76">
        <w:trPr>
          <w:tblCellSpacing w:w="7" w:type="dxa"/>
        </w:trPr>
        <w:tc>
          <w:tcPr>
            <w:tcW w:w="0" w:type="auto"/>
            <w:gridSpan w:val="7"/>
            <w:tcBorders>
              <w:top w:val="nil"/>
              <w:left w:val="nil"/>
              <w:bottom w:val="nil"/>
              <w:right w:val="nil"/>
            </w:tcBorders>
            <w:vAlign w:val="center"/>
            <w:hideMark/>
          </w:tcPr>
          <w:p w:rsidR="00E04981" w:rsidRDefault="00E04981" w:rsidP="00823B76">
            <w:pPr>
              <w:jc w:val="center"/>
              <w:rPr>
                <w:sz w:val="24"/>
                <w:szCs w:val="24"/>
              </w:rPr>
            </w:pPr>
            <w:r>
              <w:t xml:space="preserve">Tableau 1 : Efficacité de Vaccin grippal (vivant atténué, nasal)  dans les études pédiatriques contre placebo </w:t>
            </w:r>
          </w:p>
        </w:tc>
      </w:tr>
      <w:tr w:rsidR="00E04981"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rPr>
                <w:b/>
                <w:bCs/>
              </w:rPr>
              <w:t>Numéro de l'étude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rPr>
                <w:b/>
                <w:bCs/>
              </w:rPr>
              <w:t>Région</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rPr>
                <w:b/>
                <w:bCs/>
              </w:rPr>
              <w:t>Tranche d'âge</w:t>
            </w:r>
            <w:hyperlink w:anchor="t1" w:history="1">
              <w:r>
                <w:rPr>
                  <w:rStyle w:val="Lienhypertexte"/>
                  <w:vertAlign w:val="superscript"/>
                </w:rPr>
                <w:t>(a)</w:t>
              </w:r>
            </w:hyperlink>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rPr>
                <w:b/>
                <w:bCs/>
              </w:rPr>
              <w:t>Nombre de sujets</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rPr>
                <w:b/>
                <w:bCs/>
              </w:rPr>
              <w:t>Saison grippale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proofErr w:type="gramStart"/>
            <w:r>
              <w:rPr>
                <w:b/>
                <w:bCs/>
              </w:rPr>
              <w:t>Efficacité</w:t>
            </w:r>
            <w:proofErr w:type="gramEnd"/>
            <w:r>
              <w:br/>
            </w:r>
            <w:r>
              <w:rPr>
                <w:b/>
                <w:bCs/>
              </w:rPr>
              <w:t>(IC 95 %)</w:t>
            </w:r>
            <w:hyperlink w:anchor="t2" w:history="1">
              <w:r>
                <w:rPr>
                  <w:rStyle w:val="Lienhypertexte"/>
                  <w:b/>
                  <w:bCs/>
                  <w:vertAlign w:val="superscript"/>
                </w:rPr>
                <w:t>(b</w:t>
              </w:r>
              <w:proofErr w:type="gramStart"/>
              <w:r>
                <w:rPr>
                  <w:rStyle w:val="Lienhypertexte"/>
                  <w:b/>
                  <w:bCs/>
                  <w:vertAlign w:val="superscript"/>
                </w:rPr>
                <w:t>)</w:t>
              </w:r>
              <w:proofErr w:type="gramEnd"/>
            </w:hyperlink>
            <w:r>
              <w:br/>
            </w:r>
            <w:r>
              <w:rPr>
                <w:b/>
                <w:bCs/>
              </w:rPr>
              <w:t xml:space="preserve">souches </w:t>
            </w:r>
            <w:proofErr w:type="spellStart"/>
            <w:r>
              <w:rPr>
                <w:b/>
                <w:bCs/>
              </w:rPr>
              <w:t>antigéniquement</w:t>
            </w:r>
            <w:proofErr w:type="spellEnd"/>
            <w:r>
              <w:rPr>
                <w:b/>
                <w:bCs/>
              </w:rPr>
              <w:t xml:space="preserve"> apparentées</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proofErr w:type="gramStart"/>
            <w:r>
              <w:rPr>
                <w:b/>
                <w:bCs/>
              </w:rPr>
              <w:t>Efficacité</w:t>
            </w:r>
            <w:proofErr w:type="gramEnd"/>
            <w:r>
              <w:br/>
            </w:r>
            <w:r>
              <w:rPr>
                <w:b/>
                <w:bCs/>
              </w:rPr>
              <w:t>(IC 95 %)</w:t>
            </w:r>
            <w:hyperlink w:anchor="t2" w:history="1">
              <w:r>
                <w:rPr>
                  <w:rStyle w:val="Lienhypertexte"/>
                  <w:b/>
                  <w:bCs/>
                  <w:vertAlign w:val="superscript"/>
                </w:rPr>
                <w:t>(b</w:t>
              </w:r>
              <w:proofErr w:type="gramStart"/>
              <w:r>
                <w:rPr>
                  <w:rStyle w:val="Lienhypertexte"/>
                  <w:b/>
                  <w:bCs/>
                  <w:vertAlign w:val="superscript"/>
                </w:rPr>
                <w:t>)</w:t>
              </w:r>
              <w:proofErr w:type="gramEnd"/>
            </w:hyperlink>
            <w:r>
              <w:br/>
            </w:r>
            <w:r>
              <w:rPr>
                <w:b/>
                <w:bCs/>
              </w:rPr>
              <w:t>quelle que soit la souche</w:t>
            </w:r>
            <w:r>
              <w:t xml:space="preserve"> </w:t>
            </w:r>
          </w:p>
        </w:tc>
      </w:tr>
      <w:tr w:rsidR="00E04981" w:rsidTr="00823B76">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D153-P502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Europe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6 à 35 M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1616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2000-2001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85,4 </w:t>
            </w:r>
            <w:proofErr w:type="gramStart"/>
            <w:r>
              <w:t>%</w:t>
            </w:r>
            <w:proofErr w:type="gramEnd"/>
            <w:r>
              <w:br/>
              <w:t xml:space="preserve">(74,3 ; 92,2)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85,9 </w:t>
            </w:r>
            <w:proofErr w:type="gramStart"/>
            <w:r>
              <w:t>%</w:t>
            </w:r>
            <w:proofErr w:type="gramEnd"/>
            <w:r>
              <w:br/>
              <w:t xml:space="preserve">(76,3 ; 92,0) </w:t>
            </w:r>
          </w:p>
        </w:tc>
      </w:tr>
      <w:tr w:rsidR="00E04981" w:rsidTr="00823B76">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2001-2002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88,7 </w:t>
            </w:r>
            <w:proofErr w:type="gramStart"/>
            <w:r>
              <w:t>%</w:t>
            </w:r>
            <w:proofErr w:type="gramEnd"/>
            <w:r>
              <w:br/>
              <w:t xml:space="preserve">(82,0 ; 93,2)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85,8 </w:t>
            </w:r>
            <w:proofErr w:type="gramStart"/>
            <w:r>
              <w:t>%</w:t>
            </w:r>
            <w:proofErr w:type="gramEnd"/>
            <w:r>
              <w:br/>
              <w:t xml:space="preserve">(78,6 ; 90,9) </w:t>
            </w:r>
          </w:p>
        </w:tc>
      </w:tr>
      <w:tr w:rsidR="00E04981" w:rsidTr="00823B76">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D153-P504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Afrique, Amérique latine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6 à 35 M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1886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73,5 </w:t>
            </w:r>
            <w:proofErr w:type="gramStart"/>
            <w:r>
              <w:t>%</w:t>
            </w:r>
            <w:proofErr w:type="gramEnd"/>
            <w:r>
              <w:br/>
              <w:t>(63,6 ; 81,0)</w:t>
            </w:r>
            <w:hyperlink w:anchor="t3" w:history="1">
              <w:r>
                <w:rPr>
                  <w:rStyle w:val="Lienhypertexte"/>
                  <w:vertAlign w:val="superscript"/>
                </w:rPr>
                <w:t>(c)</w:t>
              </w:r>
            </w:hyperlink>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72,0 </w:t>
            </w:r>
            <w:proofErr w:type="gramStart"/>
            <w:r>
              <w:t>%</w:t>
            </w:r>
            <w:proofErr w:type="gramEnd"/>
            <w:r>
              <w:br/>
              <w:t>(61,9 ; 79,8)</w:t>
            </w:r>
            <w:hyperlink w:anchor="t3" w:history="1">
              <w:r>
                <w:rPr>
                  <w:rStyle w:val="Lienhypertexte"/>
                  <w:vertAlign w:val="superscript"/>
                </w:rPr>
                <w:t>(c)</w:t>
              </w:r>
            </w:hyperlink>
            <w:r>
              <w:t xml:space="preserve"> </w:t>
            </w:r>
          </w:p>
        </w:tc>
      </w:tr>
      <w:tr w:rsidR="00E04981" w:rsidTr="00823B76">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73,6 </w:t>
            </w:r>
            <w:proofErr w:type="gramStart"/>
            <w:r>
              <w:t>%</w:t>
            </w:r>
            <w:proofErr w:type="gramEnd"/>
            <w:r>
              <w:br/>
              <w:t xml:space="preserve">(33,3 ; 91,2)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46,6 </w:t>
            </w:r>
            <w:proofErr w:type="gramStart"/>
            <w:r>
              <w:t>%</w:t>
            </w:r>
            <w:proofErr w:type="gramEnd"/>
            <w:r>
              <w:br/>
              <w:t xml:space="preserve">(14,9 ; 67,2) </w:t>
            </w:r>
          </w:p>
        </w:tc>
      </w:tr>
      <w:tr w:rsidR="00E04981"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D153-</w:t>
            </w:r>
            <w:r>
              <w:lastRenderedPageBreak/>
              <w:t xml:space="preserve">P513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lastRenderedPageBreak/>
              <w:t xml:space="preserve">Asie/Océanie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6 à 35 M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2107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62,2 </w:t>
            </w:r>
            <w:proofErr w:type="gramStart"/>
            <w:r>
              <w:t>%</w:t>
            </w:r>
            <w:proofErr w:type="gramEnd"/>
            <w:r>
              <w:br/>
            </w:r>
            <w:r>
              <w:lastRenderedPageBreak/>
              <w:t xml:space="preserve">(43,6 ; 75,2)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lastRenderedPageBreak/>
              <w:t xml:space="preserve">48,6 </w:t>
            </w:r>
            <w:proofErr w:type="gramStart"/>
            <w:r>
              <w:t>%</w:t>
            </w:r>
            <w:proofErr w:type="gramEnd"/>
            <w:r>
              <w:br/>
            </w:r>
            <w:r>
              <w:lastRenderedPageBreak/>
              <w:t xml:space="preserve">(28,8 ; 63,3) </w:t>
            </w:r>
          </w:p>
        </w:tc>
      </w:tr>
      <w:tr w:rsidR="00E04981"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lastRenderedPageBreak/>
              <w:t xml:space="preserve">D153-P522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Europe, Asie/Océanie, Amérique latine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11 à 24 M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2002-2003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78,4 </w:t>
            </w:r>
            <w:proofErr w:type="gramStart"/>
            <w:r>
              <w:t>%</w:t>
            </w:r>
            <w:proofErr w:type="gramEnd"/>
            <w:r>
              <w:br/>
              <w:t xml:space="preserve">(50,9 ; 91,3)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63,8 </w:t>
            </w:r>
            <w:proofErr w:type="gramStart"/>
            <w:r>
              <w:t>%</w:t>
            </w:r>
            <w:proofErr w:type="gramEnd"/>
            <w:r>
              <w:br/>
              <w:t xml:space="preserve">(36,2 ; 79,8) </w:t>
            </w:r>
          </w:p>
        </w:tc>
      </w:tr>
      <w:tr w:rsidR="00E04981" w:rsidTr="00823B76">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D153-P501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Asie/Océanie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12 à 35 M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2764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2000-2001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72,9 </w:t>
            </w:r>
            <w:proofErr w:type="gramStart"/>
            <w:r>
              <w:t>%</w:t>
            </w:r>
            <w:proofErr w:type="gramEnd"/>
            <w:r>
              <w:br/>
              <w:t xml:space="preserve">(62,8 ; 80,5)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70,1 </w:t>
            </w:r>
            <w:proofErr w:type="gramStart"/>
            <w:r>
              <w:t>%</w:t>
            </w:r>
            <w:proofErr w:type="gramEnd"/>
            <w:r>
              <w:br/>
              <w:t xml:space="preserve">(60,9 ; 77,3) </w:t>
            </w:r>
          </w:p>
        </w:tc>
      </w:tr>
      <w:tr w:rsidR="00E04981" w:rsidTr="00823B76">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2001-2002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84,3 </w:t>
            </w:r>
            <w:proofErr w:type="gramStart"/>
            <w:r>
              <w:t>%</w:t>
            </w:r>
            <w:proofErr w:type="gramEnd"/>
            <w:r>
              <w:br/>
              <w:t>(70,1 ; 92,4)</w:t>
            </w:r>
            <w:hyperlink w:anchor="t4" w:history="1">
              <w:r>
                <w:rPr>
                  <w:rStyle w:val="Lienhypertexte"/>
                  <w:vertAlign w:val="superscript"/>
                </w:rPr>
                <w:t>(d)</w:t>
              </w:r>
            </w:hyperlink>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64,2 </w:t>
            </w:r>
            <w:proofErr w:type="gramStart"/>
            <w:r>
              <w:t>%</w:t>
            </w:r>
            <w:proofErr w:type="gramEnd"/>
            <w:r>
              <w:br/>
              <w:t>(44,2 ; 77,3)</w:t>
            </w:r>
            <w:hyperlink w:anchor="t4" w:history="1">
              <w:r>
                <w:rPr>
                  <w:rStyle w:val="Lienhypertexte"/>
                  <w:vertAlign w:val="superscript"/>
                </w:rPr>
                <w:t>(d)</w:t>
              </w:r>
            </w:hyperlink>
            <w:r>
              <w:t xml:space="preserve"> </w:t>
            </w:r>
          </w:p>
        </w:tc>
      </w:tr>
      <w:tr w:rsidR="00E04981" w:rsidTr="00823B76">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AV006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États-Unis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15 à 71 M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1259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1996-1997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93,4 </w:t>
            </w:r>
            <w:proofErr w:type="gramStart"/>
            <w:r>
              <w:t>%</w:t>
            </w:r>
            <w:proofErr w:type="gramEnd"/>
            <w:r>
              <w:br/>
              <w:t xml:space="preserve">(87,5 ; 96,5)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93,4 </w:t>
            </w:r>
            <w:proofErr w:type="gramStart"/>
            <w:r>
              <w:t>%</w:t>
            </w:r>
            <w:proofErr w:type="gramEnd"/>
            <w:r>
              <w:br/>
              <w:t xml:space="preserve">(87,5 ; 96,5) </w:t>
            </w:r>
          </w:p>
        </w:tc>
      </w:tr>
      <w:tr w:rsidR="00E04981" w:rsidTr="00823B76">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1997-1998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100 </w:t>
            </w:r>
            <w:proofErr w:type="gramStart"/>
            <w:r>
              <w:t>%</w:t>
            </w:r>
            <w:proofErr w:type="gramEnd"/>
            <w:r>
              <w:br/>
              <w:t xml:space="preserve">(63,1 ; 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87,1 </w:t>
            </w:r>
            <w:proofErr w:type="gramStart"/>
            <w:r>
              <w:t>%</w:t>
            </w:r>
            <w:proofErr w:type="gramEnd"/>
            <w:r>
              <w:br/>
              <w:t>(77,7 ; 92,6)</w:t>
            </w:r>
            <w:hyperlink w:anchor="t5" w:history="1">
              <w:r>
                <w:rPr>
                  <w:rStyle w:val="Lienhypertexte"/>
                  <w:vertAlign w:val="superscript"/>
                </w:rPr>
                <w:t>(e)</w:t>
              </w:r>
            </w:hyperlink>
            <w:r>
              <w:t xml:space="preserve"> </w:t>
            </w:r>
          </w:p>
        </w:tc>
      </w:tr>
    </w:tbl>
    <w:p w:rsidR="00E04981" w:rsidRDefault="00E04981" w:rsidP="00E04981"/>
    <w:p w:rsidR="00E04981" w:rsidRDefault="00E04981" w:rsidP="00E04981">
      <w:bookmarkStart w:id="0" w:name="t1"/>
      <w:bookmarkEnd w:id="0"/>
      <w:r>
        <w:rPr>
          <w:rStyle w:val="ref"/>
        </w:rPr>
        <w:t>(a)</w:t>
      </w:r>
      <w:r>
        <w:t> </w:t>
      </w:r>
      <w:r>
        <w:rPr>
          <w:rStyle w:val="p"/>
        </w:rPr>
        <w:t>M = mois.</w:t>
      </w:r>
      <w:r>
        <w:t xml:space="preserve"> </w:t>
      </w:r>
    </w:p>
    <w:p w:rsidR="00E04981" w:rsidRDefault="00E04981" w:rsidP="00E04981">
      <w:bookmarkStart w:id="1" w:name="t2"/>
      <w:bookmarkEnd w:id="1"/>
      <w:r>
        <w:rPr>
          <w:rStyle w:val="ref"/>
        </w:rPr>
        <w:t>(b)</w:t>
      </w:r>
      <w:r>
        <w:t> </w:t>
      </w:r>
      <w:r>
        <w:rPr>
          <w:rStyle w:val="p"/>
        </w:rPr>
        <w:t>Réduction de la maladie de la grippe confirmée par culture comparativement au placebo.</w:t>
      </w:r>
      <w:r>
        <w:t xml:space="preserve"> </w:t>
      </w:r>
    </w:p>
    <w:p w:rsidR="00E04981" w:rsidRDefault="00E04981" w:rsidP="00E04981">
      <w:bookmarkStart w:id="2" w:name="t3"/>
      <w:bookmarkEnd w:id="2"/>
      <w:r>
        <w:rPr>
          <w:rStyle w:val="ref"/>
        </w:rPr>
        <w:t>(c)</w:t>
      </w:r>
      <w:r>
        <w:t> </w:t>
      </w:r>
      <w:r>
        <w:rPr>
          <w:rStyle w:val="p"/>
        </w:rPr>
        <w:t>Les données présentées pour l'essai clinique D153-P504 s'appliquent aux sujets ayant reçu deux doses du vaccin à l'étude. Chez les sujets n'ayant pas été précédemment vaccinés et ayant reçu une dose la première année, l'efficacité était de respectivement 57,7 % (IC 95 % : 44,7 ; 67,9) et 56,3 % (IC 95 % : 43,1 ; 66,7), corroborant la nécessité de deux doses de vaccin chez les enfants n'ayant pas été vaccinés précédemment.</w:t>
      </w:r>
      <w:r>
        <w:t xml:space="preserve"> </w:t>
      </w:r>
    </w:p>
    <w:p w:rsidR="00E04981" w:rsidRDefault="00E04981" w:rsidP="00E04981">
      <w:bookmarkStart w:id="3" w:name="t4"/>
      <w:bookmarkEnd w:id="3"/>
      <w:r>
        <w:rPr>
          <w:rStyle w:val="ref"/>
        </w:rPr>
        <w:t>(d)</w:t>
      </w:r>
      <w:r>
        <w:t> </w:t>
      </w:r>
      <w:r>
        <w:rPr>
          <w:rStyle w:val="p"/>
        </w:rPr>
        <w:t>Chez les sujets ayant reçu 2 doses la première année et un placebo la deuxième année, l'efficacité au cours de la seconde année était respectivement de 56,2 % (IC 95 % : 30,5 ; 72,7) et 44,8 % (IC 95 % : 18,2 ; 62,9), dans l'essai D153-P501, corroborant ainsi la nécessité d'une nouvelle vaccination lors de la deuxième saison.</w:t>
      </w:r>
      <w:r>
        <w:t xml:space="preserve"> </w:t>
      </w:r>
    </w:p>
    <w:p w:rsidR="00E04981" w:rsidRDefault="00E04981" w:rsidP="00E04981">
      <w:bookmarkStart w:id="4" w:name="t5"/>
      <w:bookmarkEnd w:id="4"/>
      <w:r>
        <w:rPr>
          <w:rStyle w:val="ref"/>
        </w:rPr>
        <w:t>(e)</w:t>
      </w:r>
      <w:r>
        <w:t> </w:t>
      </w:r>
      <w:r>
        <w:rPr>
          <w:rStyle w:val="p"/>
        </w:rPr>
        <w:t xml:space="preserve">Les souches principales circulantes étaient </w:t>
      </w:r>
      <w:proofErr w:type="spellStart"/>
      <w:r>
        <w:rPr>
          <w:rStyle w:val="p"/>
        </w:rPr>
        <w:t>antigéniquement</w:t>
      </w:r>
      <w:proofErr w:type="spellEnd"/>
      <w:r>
        <w:rPr>
          <w:rStyle w:val="p"/>
        </w:rPr>
        <w:t xml:space="preserve"> différentes de la souche H3N2 présente dans le vaccin ; l'efficacité comparée avec la souche non </w:t>
      </w:r>
      <w:proofErr w:type="spellStart"/>
      <w:r>
        <w:rPr>
          <w:rStyle w:val="p"/>
        </w:rPr>
        <w:t>antigéniquement</w:t>
      </w:r>
      <w:proofErr w:type="spellEnd"/>
      <w:r>
        <w:rPr>
          <w:rStyle w:val="p"/>
        </w:rPr>
        <w:t xml:space="preserve"> apparentée à A/H3N2 était de 85,9 % (IC 95 % : 75,3 ; 91,9).</w:t>
      </w:r>
      <w:r>
        <w:t xml:space="preserve"> </w:t>
      </w:r>
    </w:p>
    <w:p w:rsidR="00E04981" w:rsidRDefault="00E04981" w:rsidP="00E04981"/>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0"/>
        <w:gridCol w:w="1408"/>
        <w:gridCol w:w="867"/>
        <w:gridCol w:w="896"/>
        <w:gridCol w:w="874"/>
        <w:gridCol w:w="1876"/>
        <w:gridCol w:w="1843"/>
      </w:tblGrid>
      <w:tr w:rsidR="00E04981" w:rsidTr="00823B76">
        <w:trPr>
          <w:tblCellSpacing w:w="7" w:type="dxa"/>
        </w:trPr>
        <w:tc>
          <w:tcPr>
            <w:tcW w:w="0" w:type="auto"/>
            <w:gridSpan w:val="7"/>
            <w:tcBorders>
              <w:top w:val="nil"/>
              <w:left w:val="nil"/>
              <w:bottom w:val="nil"/>
              <w:right w:val="nil"/>
            </w:tcBorders>
            <w:vAlign w:val="center"/>
            <w:hideMark/>
          </w:tcPr>
          <w:p w:rsidR="00E04981" w:rsidRDefault="00E04981" w:rsidP="00823B76">
            <w:pPr>
              <w:jc w:val="center"/>
              <w:rPr>
                <w:sz w:val="24"/>
                <w:szCs w:val="24"/>
              </w:rPr>
            </w:pPr>
            <w:r>
              <w:t xml:space="preserve">Tableau 2 : Efficacité relative de Vaccin grippal (vivant atténué, nasal)  dans les études pédiatriques contre un vaccin grippal injectable </w:t>
            </w:r>
          </w:p>
        </w:tc>
      </w:tr>
      <w:tr w:rsidR="00E04981"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rPr>
                <w:b/>
                <w:bCs/>
              </w:rPr>
              <w:t xml:space="preserve">Numéro de </w:t>
            </w:r>
            <w:r>
              <w:rPr>
                <w:b/>
                <w:bCs/>
              </w:rPr>
              <w:lastRenderedPageBreak/>
              <w:t>l'étude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rPr>
                <w:b/>
                <w:bCs/>
              </w:rPr>
              <w:lastRenderedPageBreak/>
              <w:t>Région</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rPr>
                <w:b/>
                <w:bCs/>
              </w:rPr>
              <w:t xml:space="preserve">Tranche </w:t>
            </w:r>
            <w:r>
              <w:rPr>
                <w:b/>
                <w:bCs/>
              </w:rPr>
              <w:lastRenderedPageBreak/>
              <w:t>d'âge</w:t>
            </w:r>
            <w:hyperlink w:anchor="u1" w:history="1">
              <w:r>
                <w:rPr>
                  <w:rStyle w:val="Lienhypertexte"/>
                  <w:vertAlign w:val="superscript"/>
                </w:rPr>
                <w:t>(a)</w:t>
              </w:r>
            </w:hyperlink>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rPr>
                <w:b/>
                <w:bCs/>
              </w:rPr>
              <w:lastRenderedPageBreak/>
              <w:t xml:space="preserve">Nombre </w:t>
            </w:r>
            <w:r>
              <w:rPr>
                <w:b/>
                <w:bCs/>
              </w:rPr>
              <w:lastRenderedPageBreak/>
              <w:t>de sujets</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rPr>
                <w:b/>
                <w:bCs/>
              </w:rPr>
              <w:lastRenderedPageBreak/>
              <w:t xml:space="preserve">Saison </w:t>
            </w:r>
            <w:r>
              <w:rPr>
                <w:b/>
                <w:bCs/>
              </w:rPr>
              <w:lastRenderedPageBreak/>
              <w:t>grippale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proofErr w:type="spellStart"/>
            <w:proofErr w:type="gramStart"/>
            <w:r>
              <w:rPr>
                <w:b/>
                <w:bCs/>
              </w:rPr>
              <w:lastRenderedPageBreak/>
              <w:t>Efficacitérelative</w:t>
            </w:r>
            <w:proofErr w:type="spellEnd"/>
            <w:proofErr w:type="gramEnd"/>
            <w:r>
              <w:br/>
            </w:r>
            <w:r>
              <w:rPr>
                <w:b/>
                <w:bCs/>
              </w:rPr>
              <w:t>(IC 95 %)</w:t>
            </w:r>
            <w:hyperlink w:anchor="u2" w:history="1">
              <w:r>
                <w:rPr>
                  <w:rStyle w:val="Lienhypertexte"/>
                  <w:b/>
                  <w:bCs/>
                  <w:vertAlign w:val="superscript"/>
                </w:rPr>
                <w:t>(b</w:t>
              </w:r>
              <w:proofErr w:type="gramStart"/>
              <w:r>
                <w:rPr>
                  <w:rStyle w:val="Lienhypertexte"/>
                  <w:b/>
                  <w:bCs/>
                  <w:vertAlign w:val="superscript"/>
                </w:rPr>
                <w:t>)</w:t>
              </w:r>
              <w:proofErr w:type="gramEnd"/>
            </w:hyperlink>
            <w:r>
              <w:br/>
            </w:r>
            <w:r>
              <w:rPr>
                <w:b/>
                <w:bCs/>
              </w:rPr>
              <w:lastRenderedPageBreak/>
              <w:t xml:space="preserve">souches </w:t>
            </w:r>
            <w:proofErr w:type="spellStart"/>
            <w:r>
              <w:rPr>
                <w:b/>
                <w:bCs/>
              </w:rPr>
              <w:t>antigéniquement</w:t>
            </w:r>
            <w:proofErr w:type="spellEnd"/>
            <w:r>
              <w:rPr>
                <w:b/>
                <w:bCs/>
              </w:rPr>
              <w:t xml:space="preserve"> apparentées</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proofErr w:type="spellStart"/>
            <w:proofErr w:type="gramStart"/>
            <w:r>
              <w:rPr>
                <w:b/>
                <w:bCs/>
              </w:rPr>
              <w:lastRenderedPageBreak/>
              <w:t>Efficacitérelative</w:t>
            </w:r>
            <w:proofErr w:type="spellEnd"/>
            <w:proofErr w:type="gramEnd"/>
            <w:r>
              <w:br/>
            </w:r>
            <w:r>
              <w:rPr>
                <w:b/>
                <w:bCs/>
              </w:rPr>
              <w:t>(IC 95 %)</w:t>
            </w:r>
            <w:hyperlink w:anchor="u2" w:history="1">
              <w:r>
                <w:rPr>
                  <w:rStyle w:val="Lienhypertexte"/>
                  <w:b/>
                  <w:bCs/>
                  <w:vertAlign w:val="superscript"/>
                </w:rPr>
                <w:t>(b</w:t>
              </w:r>
              <w:proofErr w:type="gramStart"/>
              <w:r>
                <w:rPr>
                  <w:rStyle w:val="Lienhypertexte"/>
                  <w:b/>
                  <w:bCs/>
                  <w:vertAlign w:val="superscript"/>
                </w:rPr>
                <w:t>)</w:t>
              </w:r>
              <w:proofErr w:type="gramEnd"/>
            </w:hyperlink>
            <w:r>
              <w:br/>
            </w:r>
            <w:r>
              <w:rPr>
                <w:b/>
                <w:bCs/>
              </w:rPr>
              <w:lastRenderedPageBreak/>
              <w:t>quelle que soit la souche</w:t>
            </w:r>
            <w:r>
              <w:t xml:space="preserve"> </w:t>
            </w:r>
          </w:p>
        </w:tc>
      </w:tr>
      <w:tr w:rsidR="00E04981"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lastRenderedPageBreak/>
              <w:t xml:space="preserve">MI-CP111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Etats-Unis, Europe, Asie/Océanie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6 à 59 M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7852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2004-2005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44,5 </w:t>
            </w:r>
            <w:proofErr w:type="gramStart"/>
            <w:r>
              <w:t>%</w:t>
            </w:r>
            <w:proofErr w:type="gramEnd"/>
            <w:r>
              <w:br/>
              <w:t>(22,4 ; 60,0)</w:t>
            </w:r>
            <w:r>
              <w:br/>
              <w:t xml:space="preserve">de cas en moins par rapport au vaccin injectable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54,9 </w:t>
            </w:r>
            <w:proofErr w:type="gramStart"/>
            <w:r>
              <w:t>%</w:t>
            </w:r>
            <w:proofErr w:type="gramEnd"/>
            <w:r>
              <w:br/>
              <w:t>(45,4 ; 62,9)</w:t>
            </w:r>
            <w:hyperlink w:anchor="u3" w:history="1">
              <w:r>
                <w:rPr>
                  <w:rStyle w:val="Lienhypertexte"/>
                  <w:vertAlign w:val="superscript"/>
                </w:rPr>
                <w:t>(c)</w:t>
              </w:r>
            </w:hyperlink>
            <w:r>
              <w:br/>
              <w:t xml:space="preserve">de cas en moins par rapport au vaccin injectable </w:t>
            </w:r>
          </w:p>
        </w:tc>
      </w:tr>
      <w:tr w:rsidR="00E04981"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D153-P514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Europe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6 à 71 M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2085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2002-2003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52,7 </w:t>
            </w:r>
            <w:proofErr w:type="gramStart"/>
            <w:r>
              <w:t>%</w:t>
            </w:r>
            <w:proofErr w:type="gramEnd"/>
            <w:r>
              <w:br/>
              <w:t>(21,6 ; 72,2)</w:t>
            </w:r>
            <w:r>
              <w:br/>
              <w:t xml:space="preserve">de cas en moins par rapport au vaccin injectable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52,4 </w:t>
            </w:r>
            <w:proofErr w:type="gramStart"/>
            <w:r>
              <w:t>%</w:t>
            </w:r>
            <w:proofErr w:type="gramEnd"/>
            <w:r>
              <w:br/>
              <w:t>(24,6 ; 70,5)</w:t>
            </w:r>
            <w:hyperlink w:anchor="u4" w:history="1">
              <w:r>
                <w:rPr>
                  <w:rStyle w:val="Lienhypertexte"/>
                  <w:vertAlign w:val="superscript"/>
                </w:rPr>
                <w:t>(d)</w:t>
              </w:r>
            </w:hyperlink>
            <w:r>
              <w:br/>
              <w:t xml:space="preserve">de cas en moins par rapport au vaccin injectable </w:t>
            </w:r>
          </w:p>
        </w:tc>
      </w:tr>
      <w:tr w:rsidR="00E04981"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D153-P515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Europe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6 à 17 A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2211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2002-2003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34,7 </w:t>
            </w:r>
            <w:proofErr w:type="gramStart"/>
            <w:r>
              <w:t>%</w:t>
            </w:r>
            <w:proofErr w:type="gramEnd"/>
            <w:r>
              <w:br/>
              <w:t>(3,9 ; 56,0)</w:t>
            </w:r>
            <w:r>
              <w:br/>
              <w:t xml:space="preserve">de cas en moins par rapport au vaccin injectable </w:t>
            </w:r>
          </w:p>
        </w:tc>
        <w:tc>
          <w:tcPr>
            <w:tcW w:w="0" w:type="auto"/>
            <w:tcBorders>
              <w:top w:val="outset" w:sz="6" w:space="0" w:color="auto"/>
              <w:left w:val="outset" w:sz="6" w:space="0" w:color="auto"/>
              <w:bottom w:val="outset" w:sz="6" w:space="0" w:color="auto"/>
              <w:right w:val="outset" w:sz="6" w:space="0" w:color="auto"/>
            </w:tcBorders>
            <w:vAlign w:val="center"/>
            <w:hideMark/>
          </w:tcPr>
          <w:p w:rsidR="00E04981" w:rsidRDefault="00E04981" w:rsidP="00823B76">
            <w:pPr>
              <w:jc w:val="center"/>
              <w:rPr>
                <w:sz w:val="24"/>
                <w:szCs w:val="24"/>
              </w:rPr>
            </w:pPr>
            <w:r>
              <w:t xml:space="preserve">31,9 </w:t>
            </w:r>
            <w:proofErr w:type="gramStart"/>
            <w:r>
              <w:t>%</w:t>
            </w:r>
            <w:proofErr w:type="gramEnd"/>
            <w:r>
              <w:br/>
              <w:t>(1,1 ; 53,5)</w:t>
            </w:r>
            <w:r>
              <w:br/>
              <w:t xml:space="preserve">de cas en moins par rapport au vaccin injectable </w:t>
            </w:r>
          </w:p>
        </w:tc>
      </w:tr>
    </w:tbl>
    <w:p w:rsidR="00E04981" w:rsidRDefault="00E04981" w:rsidP="00E04981"/>
    <w:p w:rsidR="00E04981" w:rsidRDefault="00E04981" w:rsidP="00E04981">
      <w:bookmarkStart w:id="5" w:name="u1"/>
      <w:bookmarkEnd w:id="5"/>
      <w:r>
        <w:rPr>
          <w:rStyle w:val="ref"/>
        </w:rPr>
        <w:t>(a)</w:t>
      </w:r>
      <w:r>
        <w:t> </w:t>
      </w:r>
      <w:r>
        <w:rPr>
          <w:rStyle w:val="p"/>
        </w:rPr>
        <w:t>M = mois. A = années. Tranche d'âge telle que décrite dans le protocole de l'étude.</w:t>
      </w:r>
      <w:r>
        <w:t xml:space="preserve"> </w:t>
      </w:r>
    </w:p>
    <w:p w:rsidR="00E04981" w:rsidRDefault="00E04981" w:rsidP="00E04981">
      <w:bookmarkStart w:id="6" w:name="u2"/>
      <w:bookmarkEnd w:id="6"/>
      <w:r>
        <w:rPr>
          <w:rStyle w:val="ref"/>
        </w:rPr>
        <w:t>(b)</w:t>
      </w:r>
      <w:r>
        <w:t> </w:t>
      </w:r>
      <w:r>
        <w:rPr>
          <w:rStyle w:val="p"/>
        </w:rPr>
        <w:t>Réduction de la maladie de la grippe confirmée par culture comparativement au vaccin grippal injectable.</w:t>
      </w:r>
      <w:r>
        <w:t xml:space="preserve"> </w:t>
      </w:r>
    </w:p>
    <w:p w:rsidR="00E04981" w:rsidRDefault="00E04981" w:rsidP="00E04981">
      <w:bookmarkStart w:id="7" w:name="u3"/>
      <w:bookmarkEnd w:id="7"/>
      <w:r>
        <w:rPr>
          <w:rStyle w:val="ref"/>
        </w:rPr>
        <w:t>(c)</w:t>
      </w:r>
      <w:r>
        <w:t> </w:t>
      </w:r>
      <w:r>
        <w:rPr>
          <w:rStyle w:val="p"/>
        </w:rPr>
        <w:t>Vaccin grippal (vivant atténué, nasal)  est associé à 55,7 % (39,9 ; 67,6) de cas en moins par rapport au vaccin grippal injectable sur 3659 nourrissons et enfants âgés de 6 à 23 mois et 54,4 % (41,8 ; 64,5) de cas en moins, sur 4166 enfants âgés de 24 à 59 mois.</w:t>
      </w:r>
      <w:r>
        <w:t xml:space="preserve"> </w:t>
      </w:r>
    </w:p>
    <w:p w:rsidR="00E04981" w:rsidRDefault="00E04981" w:rsidP="00E04981">
      <w:bookmarkStart w:id="8" w:name="u4"/>
      <w:bookmarkEnd w:id="8"/>
      <w:r>
        <w:rPr>
          <w:rStyle w:val="ref"/>
        </w:rPr>
        <w:t>(d)</w:t>
      </w:r>
      <w:r>
        <w:t> </w:t>
      </w:r>
      <w:r>
        <w:rPr>
          <w:rStyle w:val="p"/>
        </w:rPr>
        <w:t>Vaccin grippal (vivant atténué, nasal)  est associé à 64,4 % (1,4 ; 88,8) de cas en moins par rapport au vaccin grippal injectable sur 476 nourrissons et enfants âgés de 6 à 23 mois et 48,2 % (12,7 ; 70,0) de cas en moins, sur 1579 enfants âgés de 24 à 71 mois.</w:t>
      </w:r>
      <w:r>
        <w:t xml:space="preserve"> </w:t>
      </w:r>
    </w:p>
    <w:p w:rsidR="00E04981" w:rsidRDefault="00E04981" w:rsidP="00E04981">
      <w:r>
        <w:t xml:space="preserve">Études sur la population adulte : </w:t>
      </w:r>
    </w:p>
    <w:p w:rsidR="00E04981" w:rsidRDefault="00E04981" w:rsidP="00E04981">
      <w:r>
        <w:t>Plusieurs études contre placebo ont montré que Vaccin grippal (vivant atténué, nasal)  aurait une certaine efficacité chez les adultes. Cependant, une conclusion sur le bénéfice clinique de ce vaccin chez les adultes n'a pu être émise, étant donné que les résultats observés dans certaines études, par rapport aux vaccins grippaux injectables, suggéraient une efficacité moindre de Vaccin grippal (vivant atténué, nasal</w:t>
      </w:r>
      <w:proofErr w:type="gramStart"/>
      <w:r>
        <w:t>) .</w:t>
      </w:r>
      <w:proofErr w:type="gramEnd"/>
      <w:r>
        <w:t xml:space="preserve">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04981"/>
    <w:rsid w:val="00017B31"/>
    <w:rsid w:val="0006330F"/>
    <w:rsid w:val="0009769E"/>
    <w:rsid w:val="000C4178"/>
    <w:rsid w:val="000F3D58"/>
    <w:rsid w:val="00120A2B"/>
    <w:rsid w:val="001931B1"/>
    <w:rsid w:val="001A53D5"/>
    <w:rsid w:val="001B3E26"/>
    <w:rsid w:val="00282113"/>
    <w:rsid w:val="003164DC"/>
    <w:rsid w:val="00370323"/>
    <w:rsid w:val="004276C2"/>
    <w:rsid w:val="004771A7"/>
    <w:rsid w:val="00587FAE"/>
    <w:rsid w:val="00610963"/>
    <w:rsid w:val="0062264F"/>
    <w:rsid w:val="00673C6F"/>
    <w:rsid w:val="006A3ABD"/>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E34F8"/>
    <w:rsid w:val="00E04981"/>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9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04981"/>
    <w:rPr>
      <w:color w:val="990000"/>
      <w:u w:val="single"/>
    </w:rPr>
  </w:style>
  <w:style w:type="character" w:customStyle="1" w:styleId="hx">
    <w:name w:val="hx"/>
    <w:basedOn w:val="Policepardfaut"/>
    <w:rsid w:val="00E04981"/>
  </w:style>
  <w:style w:type="character" w:customStyle="1" w:styleId="ref">
    <w:name w:val="ref"/>
    <w:basedOn w:val="Policepardfaut"/>
    <w:rsid w:val="00E04981"/>
  </w:style>
  <w:style w:type="character" w:customStyle="1" w:styleId="p">
    <w:name w:val="p"/>
    <w:basedOn w:val="Policepardfaut"/>
    <w:rsid w:val="00E04981"/>
  </w:style>
  <w:style w:type="character" w:customStyle="1" w:styleId="regl">
    <w:name w:val="regl"/>
    <w:basedOn w:val="Policepardfaut"/>
    <w:rsid w:val="00E049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5072</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2</cp:revision>
  <dcterms:created xsi:type="dcterms:W3CDTF">2013-02-27T11:15:00Z</dcterms:created>
  <dcterms:modified xsi:type="dcterms:W3CDTF">2013-02-27T11:19:00Z</dcterms:modified>
</cp:coreProperties>
</file>